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F62" w:rsidRDefault="009A6F62" w:rsidP="002B164E">
      <w:pPr>
        <w:jc w:val="center"/>
        <w:rPr>
          <w:b/>
          <w:sz w:val="28"/>
          <w:szCs w:val="28"/>
        </w:rPr>
      </w:pPr>
    </w:p>
    <w:p w:rsidR="002B164E" w:rsidRPr="00683F52" w:rsidRDefault="00E753BC" w:rsidP="002B16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Příloha č. </w:t>
      </w:r>
      <w:r w:rsidR="003457C7">
        <w:rPr>
          <w:b/>
          <w:sz w:val="28"/>
          <w:szCs w:val="28"/>
        </w:rPr>
        <w:t>5</w:t>
      </w:r>
      <w:r w:rsidR="00683F52" w:rsidRPr="00683F52">
        <w:rPr>
          <w:b/>
          <w:sz w:val="28"/>
          <w:szCs w:val="28"/>
        </w:rPr>
        <w:t xml:space="preserve"> </w:t>
      </w:r>
      <w:r w:rsidR="005A4712">
        <w:rPr>
          <w:b/>
          <w:sz w:val="28"/>
          <w:szCs w:val="28"/>
        </w:rPr>
        <w:t>zadávací dokumentace</w:t>
      </w:r>
    </w:p>
    <w:p w:rsidR="002B164E" w:rsidRDefault="002B164E" w:rsidP="002B164E">
      <w:pPr>
        <w:jc w:val="center"/>
        <w:rPr>
          <w:b/>
          <w:sz w:val="28"/>
          <w:szCs w:val="28"/>
        </w:rPr>
      </w:pPr>
    </w:p>
    <w:tbl>
      <w:tblPr>
        <w:tblpPr w:leftFromText="141" w:rightFromText="141" w:bottomFromText="65" w:vertAnchor="text" w:horzAnchor="page" w:tblpX="2431" w:tblpY="377"/>
        <w:tblW w:w="6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1259"/>
        <w:gridCol w:w="1180"/>
        <w:gridCol w:w="620"/>
        <w:gridCol w:w="2678"/>
      </w:tblGrid>
      <w:tr w:rsidR="003973F0" w:rsidTr="003973F0">
        <w:trPr>
          <w:trHeight w:val="525"/>
        </w:trPr>
        <w:tc>
          <w:tcPr>
            <w:tcW w:w="800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Etapa č.</w:t>
            </w:r>
          </w:p>
        </w:tc>
        <w:tc>
          <w:tcPr>
            <w:tcW w:w="1259" w:type="dxa"/>
            <w:tcBorders>
              <w:top w:val="doub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</w:pPr>
            <w:r>
              <w:rPr>
                <w:b/>
                <w:bCs/>
                <w:color w:val="000000"/>
                <w:sz w:val="20"/>
                <w:szCs w:val="20"/>
              </w:rPr>
              <w:t>Výchozí bod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</w:pPr>
            <w:r>
              <w:rPr>
                <w:b/>
                <w:bCs/>
                <w:color w:val="000000"/>
                <w:sz w:val="20"/>
                <w:szCs w:val="20"/>
              </w:rPr>
              <w:t>Koncový bod</w:t>
            </w:r>
          </w:p>
        </w:tc>
        <w:tc>
          <w:tcPr>
            <w:tcW w:w="620" w:type="dxa"/>
            <w:tcBorders>
              <w:top w:val="doub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Délka (km)</w:t>
            </w:r>
          </w:p>
        </w:tc>
        <w:tc>
          <w:tcPr>
            <w:tcW w:w="267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Odkaz na průběh trasy na Mapy.cz</w:t>
            </w:r>
          </w:p>
        </w:tc>
      </w:tr>
      <w:tr w:rsidR="003973F0" w:rsidTr="003973F0">
        <w:trPr>
          <w:trHeight w:val="284"/>
        </w:trPr>
        <w:tc>
          <w:tcPr>
            <w:tcW w:w="800" w:type="dxa"/>
            <w:tcBorders>
              <w:left w:val="double" w:sz="4" w:space="0" w:color="auto"/>
              <w:bottom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Pr="00303F13" w:rsidRDefault="003973F0" w:rsidP="003973F0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03F13">
              <w:rPr>
                <w:b/>
                <w:bCs/>
                <w:color w:val="000000"/>
                <w:sz w:val="20"/>
                <w:szCs w:val="20"/>
              </w:rPr>
              <w:t>E1/ DE</w:t>
            </w:r>
          </w:p>
        </w:tc>
        <w:tc>
          <w:tcPr>
            <w:tcW w:w="12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Pr="00303F13" w:rsidRDefault="003973F0" w:rsidP="003973F0">
            <w:pPr>
              <w:spacing w:before="100" w:beforeAutospacing="1" w:after="100" w:afterAutospacing="1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10968">
              <w:rPr>
                <w:b/>
                <w:bCs/>
                <w:color w:val="000000"/>
                <w:sz w:val="20"/>
                <w:szCs w:val="20"/>
              </w:rPr>
              <w:t>Niederalteich</w:t>
            </w:r>
            <w:proofErr w:type="spellEnd"/>
          </w:p>
        </w:tc>
        <w:tc>
          <w:tcPr>
            <w:tcW w:w="11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Pr="00303F13" w:rsidRDefault="003973F0" w:rsidP="003973F0">
            <w:pPr>
              <w:spacing w:before="100" w:beforeAutospacing="1" w:after="100" w:afterAutospacing="1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10968">
              <w:rPr>
                <w:b/>
                <w:bCs/>
                <w:color w:val="000000"/>
                <w:sz w:val="20"/>
                <w:szCs w:val="20"/>
              </w:rPr>
              <w:t>Lalling</w:t>
            </w:r>
            <w:proofErr w:type="spellEnd"/>
          </w:p>
        </w:tc>
        <w:tc>
          <w:tcPr>
            <w:tcW w:w="6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Pr="00A10968" w:rsidRDefault="003973F0" w:rsidP="003973F0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A10968">
              <w:rPr>
                <w:color w:val="000000"/>
                <w:sz w:val="20"/>
                <w:szCs w:val="20"/>
              </w:rPr>
              <w:t>19,08</w:t>
            </w:r>
          </w:p>
        </w:tc>
        <w:tc>
          <w:tcPr>
            <w:tcW w:w="2678" w:type="dxa"/>
            <w:tcBorders>
              <w:righ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Default="003973F0" w:rsidP="003973F0">
            <w:pPr>
              <w:spacing w:before="100" w:beforeAutospacing="1" w:after="100" w:afterAutospacing="1"/>
            </w:pPr>
          </w:p>
        </w:tc>
      </w:tr>
      <w:tr w:rsidR="003973F0" w:rsidTr="003973F0">
        <w:trPr>
          <w:trHeight w:val="284"/>
        </w:trPr>
        <w:tc>
          <w:tcPr>
            <w:tcW w:w="800" w:type="dxa"/>
            <w:tcBorders>
              <w:top w:val="double" w:sz="4" w:space="0" w:color="auto"/>
              <w:lef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Pr="00303F13" w:rsidRDefault="003973F0" w:rsidP="003973F0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03F13">
              <w:rPr>
                <w:b/>
                <w:bCs/>
                <w:color w:val="000000"/>
                <w:sz w:val="20"/>
                <w:szCs w:val="20"/>
              </w:rPr>
              <w:t>E2/DE</w:t>
            </w:r>
          </w:p>
        </w:tc>
        <w:tc>
          <w:tcPr>
            <w:tcW w:w="12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Pr="00303F13" w:rsidRDefault="003973F0" w:rsidP="003973F0">
            <w:pPr>
              <w:spacing w:before="100" w:beforeAutospacing="1" w:after="100" w:afterAutospacing="1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10968">
              <w:rPr>
                <w:b/>
                <w:bCs/>
                <w:color w:val="000000"/>
                <w:sz w:val="20"/>
                <w:szCs w:val="20"/>
              </w:rPr>
              <w:t>Lalling</w:t>
            </w:r>
            <w:proofErr w:type="spellEnd"/>
          </w:p>
        </w:tc>
        <w:tc>
          <w:tcPr>
            <w:tcW w:w="11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Pr="00303F13" w:rsidRDefault="003973F0" w:rsidP="003973F0">
            <w:pPr>
              <w:spacing w:before="100" w:beforeAutospacing="1" w:after="100" w:afterAutospacing="1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10968">
              <w:rPr>
                <w:b/>
                <w:bCs/>
                <w:color w:val="000000"/>
                <w:sz w:val="20"/>
                <w:szCs w:val="20"/>
              </w:rPr>
              <w:t>Rinchnach</w:t>
            </w:r>
            <w:proofErr w:type="spellEnd"/>
          </w:p>
        </w:tc>
        <w:tc>
          <w:tcPr>
            <w:tcW w:w="6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Pr="00A10968" w:rsidRDefault="003973F0" w:rsidP="003973F0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A10968">
              <w:rPr>
                <w:color w:val="000000"/>
                <w:sz w:val="20"/>
                <w:szCs w:val="20"/>
              </w:rPr>
              <w:t>19,61</w:t>
            </w:r>
          </w:p>
        </w:tc>
        <w:tc>
          <w:tcPr>
            <w:tcW w:w="2678" w:type="dxa"/>
            <w:tcBorders>
              <w:righ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Default="003973F0" w:rsidP="003973F0">
            <w:pPr>
              <w:spacing w:before="100" w:beforeAutospacing="1" w:after="100" w:afterAutospacing="1"/>
            </w:pPr>
          </w:p>
        </w:tc>
      </w:tr>
      <w:tr w:rsidR="003973F0" w:rsidTr="003973F0">
        <w:trPr>
          <w:trHeight w:val="284"/>
        </w:trPr>
        <w:tc>
          <w:tcPr>
            <w:tcW w:w="800" w:type="dxa"/>
            <w:tcBorders>
              <w:lef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Pr="00303F13" w:rsidRDefault="003973F0" w:rsidP="003973F0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03F13">
              <w:rPr>
                <w:b/>
                <w:bCs/>
                <w:color w:val="000000"/>
                <w:sz w:val="20"/>
                <w:szCs w:val="20"/>
              </w:rPr>
              <w:t>E3/DE</w:t>
            </w:r>
          </w:p>
        </w:tc>
        <w:tc>
          <w:tcPr>
            <w:tcW w:w="12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Pr="00303F13" w:rsidRDefault="003973F0" w:rsidP="003973F0">
            <w:pPr>
              <w:spacing w:before="100" w:beforeAutospacing="1" w:after="100" w:afterAutospacing="1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10968">
              <w:rPr>
                <w:b/>
                <w:bCs/>
                <w:color w:val="000000"/>
                <w:sz w:val="20"/>
                <w:szCs w:val="20"/>
              </w:rPr>
              <w:t>Rinchnach</w:t>
            </w:r>
            <w:proofErr w:type="spellEnd"/>
          </w:p>
        </w:tc>
        <w:tc>
          <w:tcPr>
            <w:tcW w:w="11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Pr="00303F13" w:rsidRDefault="003973F0" w:rsidP="003973F0">
            <w:pPr>
              <w:spacing w:before="100" w:beforeAutospacing="1" w:after="100" w:afterAutospacing="1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10968">
              <w:rPr>
                <w:b/>
                <w:bCs/>
                <w:color w:val="000000"/>
                <w:sz w:val="20"/>
                <w:szCs w:val="20"/>
              </w:rPr>
              <w:t>Zwiesel</w:t>
            </w:r>
            <w:proofErr w:type="spellEnd"/>
          </w:p>
        </w:tc>
        <w:tc>
          <w:tcPr>
            <w:tcW w:w="6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Pr="00A10968" w:rsidRDefault="003973F0" w:rsidP="003973F0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A10968">
              <w:rPr>
                <w:color w:val="000000"/>
                <w:sz w:val="20"/>
                <w:szCs w:val="20"/>
              </w:rPr>
              <w:t>15,26</w:t>
            </w:r>
          </w:p>
        </w:tc>
        <w:tc>
          <w:tcPr>
            <w:tcW w:w="2678" w:type="dxa"/>
            <w:tcBorders>
              <w:righ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Default="003973F0" w:rsidP="003973F0">
            <w:pPr>
              <w:spacing w:before="100" w:beforeAutospacing="1" w:after="100" w:afterAutospacing="1"/>
            </w:pPr>
          </w:p>
        </w:tc>
      </w:tr>
      <w:tr w:rsidR="003973F0" w:rsidTr="003973F0">
        <w:trPr>
          <w:trHeight w:val="284"/>
        </w:trPr>
        <w:tc>
          <w:tcPr>
            <w:tcW w:w="800" w:type="dxa"/>
            <w:tcBorders>
              <w:lef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Pr="00303F13" w:rsidRDefault="003973F0" w:rsidP="003973F0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03F13">
              <w:rPr>
                <w:b/>
                <w:bCs/>
                <w:color w:val="000000"/>
                <w:sz w:val="20"/>
                <w:szCs w:val="20"/>
              </w:rPr>
              <w:t>E4/DE</w:t>
            </w:r>
          </w:p>
        </w:tc>
        <w:tc>
          <w:tcPr>
            <w:tcW w:w="12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Pr="00303F13" w:rsidRDefault="003973F0" w:rsidP="003973F0">
            <w:pPr>
              <w:spacing w:before="100" w:beforeAutospacing="1" w:after="100" w:afterAutospacing="1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10968">
              <w:rPr>
                <w:b/>
                <w:bCs/>
                <w:color w:val="000000"/>
                <w:sz w:val="20"/>
                <w:szCs w:val="20"/>
              </w:rPr>
              <w:t>Zwiesel</w:t>
            </w:r>
            <w:proofErr w:type="spellEnd"/>
          </w:p>
        </w:tc>
        <w:tc>
          <w:tcPr>
            <w:tcW w:w="11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Pr="00303F13" w:rsidRDefault="003973F0" w:rsidP="003973F0">
            <w:pPr>
              <w:spacing w:before="100" w:beforeAutospacing="1" w:after="100" w:afterAutospacing="1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Gsenget</w:t>
            </w:r>
            <w:proofErr w:type="spellEnd"/>
          </w:p>
        </w:tc>
        <w:tc>
          <w:tcPr>
            <w:tcW w:w="6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Pr="00A10968" w:rsidRDefault="003973F0" w:rsidP="003973F0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A10968">
              <w:rPr>
                <w:color w:val="000000"/>
                <w:sz w:val="20"/>
                <w:szCs w:val="20"/>
              </w:rPr>
              <w:t>16,50</w:t>
            </w:r>
          </w:p>
        </w:tc>
        <w:tc>
          <w:tcPr>
            <w:tcW w:w="2678" w:type="dxa"/>
            <w:tcBorders>
              <w:righ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Default="003973F0" w:rsidP="003973F0">
            <w:pPr>
              <w:spacing w:before="100" w:beforeAutospacing="1" w:after="100" w:afterAutospacing="1"/>
            </w:pPr>
          </w:p>
        </w:tc>
      </w:tr>
      <w:tr w:rsidR="003973F0" w:rsidTr="003973F0">
        <w:trPr>
          <w:trHeight w:val="284"/>
        </w:trPr>
        <w:tc>
          <w:tcPr>
            <w:tcW w:w="800" w:type="dxa"/>
            <w:tcBorders>
              <w:lef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Default="003973F0" w:rsidP="003973F0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E4/CZ</w:t>
            </w:r>
          </w:p>
        </w:tc>
        <w:tc>
          <w:tcPr>
            <w:tcW w:w="12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Default="003973F0" w:rsidP="003973F0">
            <w:pPr>
              <w:spacing w:before="100" w:beforeAutospacing="1" w:after="100" w:afterAutospacing="1"/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Gsenget</w:t>
            </w:r>
            <w:proofErr w:type="spellEnd"/>
          </w:p>
        </w:tc>
        <w:tc>
          <w:tcPr>
            <w:tcW w:w="11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Default="003973F0" w:rsidP="003973F0">
            <w:pPr>
              <w:spacing w:before="100" w:beforeAutospacing="1" w:after="100" w:afterAutospacing="1"/>
            </w:pPr>
            <w:r>
              <w:rPr>
                <w:b/>
                <w:bCs/>
                <w:color w:val="000000"/>
                <w:sz w:val="20"/>
                <w:szCs w:val="20"/>
              </w:rPr>
              <w:t>Prášily</w:t>
            </w:r>
          </w:p>
        </w:tc>
        <w:tc>
          <w:tcPr>
            <w:tcW w:w="6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Default="003973F0" w:rsidP="003973F0">
            <w:pPr>
              <w:spacing w:before="100" w:beforeAutospacing="1" w:after="100" w:afterAutospacing="1"/>
              <w:jc w:val="center"/>
            </w:pPr>
            <w:r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2678" w:type="dxa"/>
            <w:tcBorders>
              <w:righ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73F0" w:rsidRDefault="00D423CD" w:rsidP="003973F0">
            <w:pPr>
              <w:spacing w:before="100" w:beforeAutospacing="1" w:after="100" w:afterAutospacing="1"/>
            </w:pPr>
            <w:hyperlink r:id="rId8" w:tgtFrame="_blank" w:history="1">
              <w:r w:rsidR="003973F0">
                <w:rPr>
                  <w:rStyle w:val="Hypertextovodkaz"/>
                  <w:sz w:val="20"/>
                  <w:szCs w:val="20"/>
                </w:rPr>
                <w:t>https://mapy.cz/s/cohabafoda</w:t>
              </w:r>
            </w:hyperlink>
            <w:r w:rsidR="003973F0">
              <w:rPr>
                <w:sz w:val="20"/>
                <w:szCs w:val="20"/>
              </w:rPr>
              <w:t xml:space="preserve"> </w:t>
            </w:r>
          </w:p>
        </w:tc>
      </w:tr>
      <w:tr w:rsidR="003973F0" w:rsidTr="003973F0">
        <w:trPr>
          <w:trHeight w:val="510"/>
        </w:trPr>
        <w:tc>
          <w:tcPr>
            <w:tcW w:w="800" w:type="dxa"/>
            <w:tcBorders>
              <w:lef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E5/CZ</w:t>
            </w:r>
          </w:p>
        </w:tc>
        <w:tc>
          <w:tcPr>
            <w:tcW w:w="12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</w:pPr>
            <w:r>
              <w:rPr>
                <w:b/>
                <w:bCs/>
                <w:color w:val="000000"/>
                <w:sz w:val="20"/>
                <w:szCs w:val="20"/>
              </w:rPr>
              <w:t>Prášily</w:t>
            </w:r>
          </w:p>
        </w:tc>
        <w:tc>
          <w:tcPr>
            <w:tcW w:w="11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</w:pPr>
            <w:r>
              <w:rPr>
                <w:b/>
                <w:bCs/>
                <w:color w:val="000000"/>
                <w:sz w:val="20"/>
                <w:szCs w:val="20"/>
              </w:rPr>
              <w:t>Hartmanice</w:t>
            </w:r>
          </w:p>
        </w:tc>
        <w:tc>
          <w:tcPr>
            <w:tcW w:w="6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  <w:jc w:val="center"/>
            </w:pPr>
            <w:r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2678" w:type="dxa"/>
            <w:tcBorders>
              <w:righ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D423CD" w:rsidP="003973F0">
            <w:pPr>
              <w:spacing w:before="100" w:beforeAutospacing="1" w:after="100" w:afterAutospacing="1"/>
            </w:pPr>
            <w:hyperlink r:id="rId9" w:tgtFrame="_blank" w:history="1">
              <w:r w:rsidR="003973F0">
                <w:rPr>
                  <w:rStyle w:val="Hypertextovodkaz"/>
                  <w:sz w:val="20"/>
                  <w:szCs w:val="20"/>
                </w:rPr>
                <w:t>https://mapy.cz/s/dufuzuzoko</w:t>
              </w:r>
            </w:hyperlink>
            <w:r w:rsidR="003973F0">
              <w:rPr>
                <w:sz w:val="20"/>
                <w:szCs w:val="20"/>
              </w:rPr>
              <w:t xml:space="preserve"> </w:t>
            </w:r>
          </w:p>
        </w:tc>
      </w:tr>
      <w:tr w:rsidR="003973F0" w:rsidTr="003973F0">
        <w:trPr>
          <w:trHeight w:val="510"/>
        </w:trPr>
        <w:tc>
          <w:tcPr>
            <w:tcW w:w="800" w:type="dxa"/>
            <w:tcBorders>
              <w:lef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E6/CZ</w:t>
            </w:r>
          </w:p>
        </w:tc>
        <w:tc>
          <w:tcPr>
            <w:tcW w:w="12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</w:pPr>
            <w:r>
              <w:rPr>
                <w:b/>
                <w:bCs/>
                <w:color w:val="000000"/>
                <w:sz w:val="20"/>
                <w:szCs w:val="20"/>
              </w:rPr>
              <w:t>Hartmanice</w:t>
            </w:r>
          </w:p>
        </w:tc>
        <w:tc>
          <w:tcPr>
            <w:tcW w:w="11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</w:pPr>
            <w:r>
              <w:rPr>
                <w:b/>
                <w:bCs/>
                <w:color w:val="000000"/>
                <w:sz w:val="20"/>
                <w:szCs w:val="20"/>
              </w:rPr>
              <w:t>Sušice</w:t>
            </w:r>
          </w:p>
        </w:tc>
        <w:tc>
          <w:tcPr>
            <w:tcW w:w="6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  <w:jc w:val="center"/>
            </w:pPr>
            <w:r>
              <w:rPr>
                <w:color w:val="000000"/>
                <w:sz w:val="20"/>
                <w:szCs w:val="20"/>
              </w:rPr>
              <w:t>16,0</w:t>
            </w:r>
          </w:p>
        </w:tc>
        <w:tc>
          <w:tcPr>
            <w:tcW w:w="2678" w:type="dxa"/>
            <w:tcBorders>
              <w:righ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D423CD" w:rsidP="003973F0">
            <w:pPr>
              <w:spacing w:before="100" w:beforeAutospacing="1" w:after="100" w:afterAutospacing="1"/>
            </w:pPr>
            <w:hyperlink r:id="rId10" w:tgtFrame="_blank" w:history="1">
              <w:r w:rsidR="003973F0">
                <w:rPr>
                  <w:rStyle w:val="Hypertextovodkaz"/>
                  <w:sz w:val="20"/>
                  <w:szCs w:val="20"/>
                </w:rPr>
                <w:t>https://mapy.cz/s/bedezagoka</w:t>
              </w:r>
            </w:hyperlink>
            <w:r w:rsidR="003973F0">
              <w:rPr>
                <w:sz w:val="20"/>
                <w:szCs w:val="20"/>
              </w:rPr>
              <w:t xml:space="preserve"> </w:t>
            </w:r>
          </w:p>
        </w:tc>
      </w:tr>
      <w:tr w:rsidR="003973F0" w:rsidTr="003973F0">
        <w:trPr>
          <w:trHeight w:val="510"/>
        </w:trPr>
        <w:tc>
          <w:tcPr>
            <w:tcW w:w="800" w:type="dxa"/>
            <w:tcBorders>
              <w:lef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E7/CZ</w:t>
            </w:r>
          </w:p>
        </w:tc>
        <w:tc>
          <w:tcPr>
            <w:tcW w:w="12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</w:pPr>
            <w:r>
              <w:rPr>
                <w:b/>
                <w:bCs/>
                <w:color w:val="000000"/>
                <w:sz w:val="20"/>
                <w:szCs w:val="20"/>
              </w:rPr>
              <w:t>Sušice</w:t>
            </w:r>
          </w:p>
        </w:tc>
        <w:tc>
          <w:tcPr>
            <w:tcW w:w="11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</w:pPr>
            <w:r>
              <w:rPr>
                <w:b/>
                <w:bCs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6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  <w:jc w:val="center"/>
            </w:pPr>
            <w:r>
              <w:rPr>
                <w:color w:val="000000"/>
                <w:sz w:val="20"/>
                <w:szCs w:val="20"/>
              </w:rPr>
              <w:t>22,2</w:t>
            </w:r>
          </w:p>
        </w:tc>
        <w:tc>
          <w:tcPr>
            <w:tcW w:w="2678" w:type="dxa"/>
            <w:tcBorders>
              <w:righ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D423CD" w:rsidP="003973F0">
            <w:pPr>
              <w:spacing w:before="100" w:beforeAutospacing="1" w:after="100" w:afterAutospacing="1"/>
            </w:pPr>
            <w:hyperlink r:id="rId11" w:tgtFrame="_blank" w:history="1">
              <w:r w:rsidR="003973F0">
                <w:rPr>
                  <w:rStyle w:val="Hypertextovodkaz"/>
                  <w:sz w:val="20"/>
                  <w:szCs w:val="20"/>
                </w:rPr>
                <w:t>https://mapy.cz/s/lepahazata</w:t>
              </w:r>
            </w:hyperlink>
            <w:r w:rsidR="003973F0">
              <w:rPr>
                <w:sz w:val="20"/>
                <w:szCs w:val="20"/>
              </w:rPr>
              <w:t xml:space="preserve"> </w:t>
            </w:r>
          </w:p>
        </w:tc>
      </w:tr>
      <w:tr w:rsidR="003973F0" w:rsidTr="003973F0">
        <w:trPr>
          <w:trHeight w:val="510"/>
        </w:trPr>
        <w:tc>
          <w:tcPr>
            <w:tcW w:w="800" w:type="dxa"/>
            <w:tcBorders>
              <w:lef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E8/CZ</w:t>
            </w:r>
          </w:p>
        </w:tc>
        <w:tc>
          <w:tcPr>
            <w:tcW w:w="12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</w:pPr>
            <w:r>
              <w:rPr>
                <w:b/>
                <w:bCs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11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</w:pPr>
            <w:r>
              <w:rPr>
                <w:b/>
                <w:bCs/>
                <w:color w:val="000000"/>
                <w:sz w:val="20"/>
                <w:szCs w:val="20"/>
              </w:rPr>
              <w:t>Chanovice</w:t>
            </w:r>
          </w:p>
        </w:tc>
        <w:tc>
          <w:tcPr>
            <w:tcW w:w="6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  <w:jc w:val="center"/>
            </w:pPr>
            <w:r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2678" w:type="dxa"/>
            <w:tcBorders>
              <w:righ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D423CD" w:rsidP="003973F0">
            <w:pPr>
              <w:spacing w:before="100" w:beforeAutospacing="1" w:after="100" w:afterAutospacing="1"/>
            </w:pPr>
            <w:hyperlink r:id="rId12" w:tgtFrame="_blank" w:history="1">
              <w:r w:rsidR="003973F0">
                <w:rPr>
                  <w:rStyle w:val="Hypertextovodkaz"/>
                  <w:sz w:val="20"/>
                  <w:szCs w:val="20"/>
                </w:rPr>
                <w:t>https://mapy.cz/s/fecujoruzo</w:t>
              </w:r>
            </w:hyperlink>
            <w:r w:rsidR="003973F0">
              <w:rPr>
                <w:sz w:val="20"/>
                <w:szCs w:val="20"/>
              </w:rPr>
              <w:t xml:space="preserve"> </w:t>
            </w:r>
          </w:p>
        </w:tc>
      </w:tr>
      <w:tr w:rsidR="003973F0" w:rsidTr="003973F0">
        <w:trPr>
          <w:trHeight w:val="510"/>
        </w:trPr>
        <w:tc>
          <w:tcPr>
            <w:tcW w:w="800" w:type="dxa"/>
            <w:tcBorders>
              <w:left w:val="double" w:sz="4" w:space="0" w:color="auto"/>
              <w:bottom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E9/CZ</w:t>
            </w:r>
          </w:p>
        </w:tc>
        <w:tc>
          <w:tcPr>
            <w:tcW w:w="1259" w:type="dxa"/>
            <w:tcBorders>
              <w:bottom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</w:pPr>
            <w:r>
              <w:rPr>
                <w:b/>
                <w:bCs/>
                <w:color w:val="000000"/>
                <w:sz w:val="20"/>
                <w:szCs w:val="20"/>
              </w:rPr>
              <w:t>Chanovice</w:t>
            </w:r>
          </w:p>
        </w:tc>
        <w:tc>
          <w:tcPr>
            <w:tcW w:w="1180" w:type="dxa"/>
            <w:tcBorders>
              <w:bottom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</w:pPr>
            <w:r>
              <w:rPr>
                <w:b/>
                <w:bCs/>
                <w:color w:val="000000"/>
                <w:sz w:val="20"/>
                <w:szCs w:val="20"/>
              </w:rPr>
              <w:t>Blatná</w:t>
            </w:r>
          </w:p>
        </w:tc>
        <w:tc>
          <w:tcPr>
            <w:tcW w:w="620" w:type="dxa"/>
            <w:tcBorders>
              <w:bottom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3973F0" w:rsidP="003973F0">
            <w:pPr>
              <w:spacing w:before="100" w:beforeAutospacing="1" w:after="100" w:afterAutospacing="1"/>
              <w:jc w:val="center"/>
            </w:pPr>
            <w:r>
              <w:rPr>
                <w:color w:val="000000"/>
                <w:sz w:val="20"/>
                <w:szCs w:val="20"/>
              </w:rPr>
              <w:t>19,7</w:t>
            </w:r>
          </w:p>
        </w:tc>
        <w:tc>
          <w:tcPr>
            <w:tcW w:w="2678" w:type="dxa"/>
            <w:tcBorders>
              <w:bottom w:val="double" w:sz="4" w:space="0" w:color="auto"/>
              <w:righ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73F0" w:rsidRDefault="00D423CD" w:rsidP="003973F0">
            <w:pPr>
              <w:spacing w:before="100" w:beforeAutospacing="1" w:after="100" w:afterAutospacing="1"/>
            </w:pPr>
            <w:hyperlink r:id="rId13" w:tgtFrame="_blank" w:history="1">
              <w:r w:rsidR="003973F0">
                <w:rPr>
                  <w:rStyle w:val="Hypertextovodkaz"/>
                  <w:sz w:val="20"/>
                  <w:szCs w:val="20"/>
                </w:rPr>
                <w:t>https://mapy.cz/s/durotabece</w:t>
              </w:r>
            </w:hyperlink>
          </w:p>
        </w:tc>
      </w:tr>
    </w:tbl>
    <w:p w:rsidR="003973F0" w:rsidRDefault="003973F0" w:rsidP="003973F0">
      <w:pPr>
        <w:ind w:left="708" w:firstLine="708"/>
      </w:pPr>
      <w:r>
        <w:t>Popis jednotlivých etap</w:t>
      </w:r>
    </w:p>
    <w:p w:rsidR="004E0165" w:rsidRPr="004E0165" w:rsidRDefault="004E0165" w:rsidP="004E0165">
      <w:pPr>
        <w:spacing w:before="100" w:beforeAutospacing="1" w:after="100" w:afterAutospacing="1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vanish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4E0165" w:rsidRPr="004E0165" w:rsidRDefault="004E0165" w:rsidP="004E0165">
      <w:pPr>
        <w:spacing w:after="0" w:line="240" w:lineRule="auto"/>
        <w:rPr>
          <w:rFonts w:eastAsia="Calibri" w:cs="Calibri"/>
          <w:lang w:eastAsia="en-US"/>
        </w:rPr>
      </w:pPr>
    </w:p>
    <w:p w:rsidR="003457C7" w:rsidRPr="003457C7" w:rsidRDefault="003457C7" w:rsidP="003457C7">
      <w:pPr>
        <w:spacing w:after="0" w:line="240" w:lineRule="auto"/>
        <w:jc w:val="both"/>
        <w:rPr>
          <w:rFonts w:eastAsia="Calibri" w:cs="Calibri"/>
          <w:b/>
          <w:sz w:val="24"/>
          <w:szCs w:val="24"/>
          <w:lang w:eastAsia="en-US"/>
        </w:rPr>
      </w:pPr>
      <w:r w:rsidRPr="003457C7">
        <w:rPr>
          <w:rFonts w:eastAsia="Calibri" w:cs="Calibri"/>
          <w:b/>
          <w:sz w:val="24"/>
          <w:szCs w:val="24"/>
          <w:lang w:eastAsia="en-US"/>
        </w:rPr>
        <w:t>VINTÍŘOVA STEZKA</w:t>
      </w:r>
    </w:p>
    <w:p w:rsidR="003457C7" w:rsidRPr="003457C7" w:rsidRDefault="003457C7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  <w:r w:rsidRPr="003457C7">
        <w:rPr>
          <w:rFonts w:eastAsia="Calibri" w:cs="Calibri"/>
          <w:sz w:val="24"/>
          <w:szCs w:val="24"/>
          <w:lang w:eastAsia="en-US"/>
        </w:rPr>
        <w:t xml:space="preserve">Vintířova stezka je pěší dálková poutní trasa se začátkem v německém klášteře v </w:t>
      </w:r>
      <w:proofErr w:type="spellStart"/>
      <w:r w:rsidRPr="003457C7">
        <w:rPr>
          <w:rFonts w:eastAsia="Calibri" w:cs="Calibri"/>
          <w:sz w:val="24"/>
          <w:szCs w:val="24"/>
          <w:lang w:eastAsia="en-US"/>
        </w:rPr>
        <w:t>Niederalteichu</w:t>
      </w:r>
      <w:proofErr w:type="spellEnd"/>
      <w:r w:rsidRPr="003457C7">
        <w:rPr>
          <w:rFonts w:eastAsia="Calibri" w:cs="Calibri"/>
          <w:sz w:val="24"/>
          <w:szCs w:val="24"/>
          <w:lang w:eastAsia="en-US"/>
        </w:rPr>
        <w:t xml:space="preserve"> a koncem v Břevnovském klášteře v Praze, propojuje významná bavorská </w:t>
      </w:r>
    </w:p>
    <w:p w:rsidR="003457C7" w:rsidRPr="003457C7" w:rsidRDefault="003457C7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  <w:r w:rsidRPr="003457C7">
        <w:rPr>
          <w:rFonts w:eastAsia="Calibri" w:cs="Calibri"/>
          <w:sz w:val="24"/>
          <w:szCs w:val="24"/>
          <w:lang w:eastAsia="en-US"/>
        </w:rPr>
        <w:t xml:space="preserve">a česká místa spjatá s životem a myšlenkami středověkého německého poustevníka </w:t>
      </w:r>
    </w:p>
    <w:p w:rsidR="003457C7" w:rsidRPr="003457C7" w:rsidRDefault="003457C7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  <w:r w:rsidRPr="003457C7">
        <w:rPr>
          <w:rFonts w:eastAsia="Calibri" w:cs="Calibri"/>
          <w:sz w:val="24"/>
          <w:szCs w:val="24"/>
          <w:lang w:eastAsia="en-US"/>
        </w:rPr>
        <w:t xml:space="preserve">a významného představitele benediktinského řádu svatého </w:t>
      </w:r>
      <w:proofErr w:type="spellStart"/>
      <w:r w:rsidRPr="003457C7">
        <w:rPr>
          <w:rFonts w:eastAsia="Calibri" w:cs="Calibri"/>
          <w:sz w:val="24"/>
          <w:szCs w:val="24"/>
          <w:lang w:eastAsia="en-US"/>
        </w:rPr>
        <w:t>Vintíře</w:t>
      </w:r>
      <w:proofErr w:type="spellEnd"/>
      <w:r w:rsidRPr="003457C7">
        <w:rPr>
          <w:rFonts w:eastAsia="Calibri" w:cs="Calibri"/>
          <w:sz w:val="24"/>
          <w:szCs w:val="24"/>
          <w:lang w:eastAsia="en-US"/>
        </w:rPr>
        <w:t xml:space="preserve"> (</w:t>
      </w:r>
      <w:proofErr w:type="spellStart"/>
      <w:r w:rsidRPr="003457C7">
        <w:rPr>
          <w:rFonts w:eastAsia="Calibri" w:cs="Calibri"/>
          <w:sz w:val="24"/>
          <w:szCs w:val="24"/>
          <w:lang w:eastAsia="en-US"/>
        </w:rPr>
        <w:t>Gunthera</w:t>
      </w:r>
      <w:proofErr w:type="spellEnd"/>
      <w:r w:rsidRPr="003457C7">
        <w:rPr>
          <w:rFonts w:eastAsia="Calibri" w:cs="Calibri"/>
          <w:sz w:val="24"/>
          <w:szCs w:val="24"/>
          <w:lang w:eastAsia="en-US"/>
        </w:rPr>
        <w:t xml:space="preserve"> něm.). Vydejte se s námi na stezku dlouhou 162 km z </w:t>
      </w:r>
      <w:proofErr w:type="spellStart"/>
      <w:r w:rsidRPr="003457C7">
        <w:rPr>
          <w:rFonts w:eastAsia="Calibri" w:cs="Calibri"/>
          <w:sz w:val="24"/>
          <w:szCs w:val="24"/>
          <w:lang w:eastAsia="en-US"/>
        </w:rPr>
        <w:t>Niederalteichu</w:t>
      </w:r>
      <w:proofErr w:type="spellEnd"/>
      <w:r w:rsidRPr="003457C7">
        <w:rPr>
          <w:rFonts w:eastAsia="Calibri" w:cs="Calibri"/>
          <w:sz w:val="24"/>
          <w:szCs w:val="24"/>
          <w:lang w:eastAsia="en-US"/>
        </w:rPr>
        <w:t xml:space="preserve"> do Blatné, která Vás v devíti jednodenních etapách o průměrné délce 17 km provede bavorsko-českým příhraničím, nádhernou </w:t>
      </w:r>
    </w:p>
    <w:p w:rsidR="003457C7" w:rsidRPr="003457C7" w:rsidRDefault="003457C7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  <w:r w:rsidRPr="003457C7">
        <w:rPr>
          <w:rFonts w:eastAsia="Calibri" w:cs="Calibri"/>
          <w:sz w:val="24"/>
          <w:szCs w:val="24"/>
          <w:lang w:eastAsia="en-US"/>
        </w:rPr>
        <w:t xml:space="preserve">a okouzlující krajinou Šumavy a Šumavského podhůří, podél zlatonosné Otavy, po cestách malebné krajiny plné rybníků a krásných míst a krůček po krůčku Vás seznámí s odkazem </w:t>
      </w:r>
    </w:p>
    <w:p w:rsidR="003457C7" w:rsidRPr="003457C7" w:rsidRDefault="003457C7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  <w:r w:rsidRPr="003457C7">
        <w:rPr>
          <w:rFonts w:eastAsia="Calibri" w:cs="Calibri"/>
          <w:sz w:val="24"/>
          <w:szCs w:val="24"/>
          <w:lang w:eastAsia="en-US"/>
        </w:rPr>
        <w:t xml:space="preserve">sv. </w:t>
      </w:r>
      <w:proofErr w:type="spellStart"/>
      <w:r w:rsidRPr="003457C7">
        <w:rPr>
          <w:rFonts w:eastAsia="Calibri" w:cs="Calibri"/>
          <w:sz w:val="24"/>
          <w:szCs w:val="24"/>
          <w:lang w:eastAsia="en-US"/>
        </w:rPr>
        <w:t>Vintíře</w:t>
      </w:r>
      <w:proofErr w:type="spellEnd"/>
      <w:r w:rsidRPr="003457C7">
        <w:rPr>
          <w:rFonts w:eastAsia="Calibri" w:cs="Calibri"/>
          <w:sz w:val="24"/>
          <w:szCs w:val="24"/>
          <w:lang w:eastAsia="en-US"/>
        </w:rPr>
        <w:t xml:space="preserve">. Pro začátek jednotlivých etap jsou vybrána takzvaná nástupní místa poskytující návštěvníkům plnou turistickou vybavenost od dopravní dostupnosti, možnosti parkovacích míst, informačních center, obchodů s potravinami až po nabídku stravovacích </w:t>
      </w:r>
    </w:p>
    <w:p w:rsidR="004E0165" w:rsidRPr="003457C7" w:rsidRDefault="003457C7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  <w:r w:rsidRPr="003457C7">
        <w:rPr>
          <w:rFonts w:eastAsia="Calibri" w:cs="Calibri"/>
          <w:sz w:val="24"/>
          <w:szCs w:val="24"/>
          <w:lang w:eastAsia="en-US"/>
        </w:rPr>
        <w:t xml:space="preserve">a ubytovacích zařízení. Objevujte fascinující památky, genius loci a překrásnou šumavskou přírodu v přírodních rezervacích a zónách největšího Národního parku v České republice. Národní park Šumava a chráněná krajinná oblast se vyznačují unikátními rozsáhlými rašeliništi, přirozenými ekosystémy, smrkovými i bukovými pralesy, horskými pláněmi, nespoutanými řekami a ledovcovými jezery. Šumava a Bavorský les tvoří největší souvislý pás lesa ve střední Evropě nazývaný Zelenou střechou Evropy. Putujte na motivy původních cest sv. </w:t>
      </w:r>
      <w:proofErr w:type="spellStart"/>
      <w:r w:rsidRPr="003457C7">
        <w:rPr>
          <w:rFonts w:eastAsia="Calibri" w:cs="Calibri"/>
          <w:sz w:val="24"/>
          <w:szCs w:val="24"/>
          <w:lang w:eastAsia="en-US"/>
        </w:rPr>
        <w:t>Vintíře</w:t>
      </w:r>
      <w:proofErr w:type="spellEnd"/>
      <w:r w:rsidRPr="003457C7">
        <w:rPr>
          <w:rFonts w:eastAsia="Calibri" w:cs="Calibri"/>
          <w:sz w:val="24"/>
          <w:szCs w:val="24"/>
          <w:lang w:eastAsia="en-US"/>
        </w:rPr>
        <w:t xml:space="preserve"> značených Klubem českých turistů přímo ve </w:t>
      </w:r>
      <w:proofErr w:type="spellStart"/>
      <w:r w:rsidRPr="003457C7">
        <w:rPr>
          <w:rFonts w:eastAsia="Calibri" w:cs="Calibri"/>
          <w:sz w:val="24"/>
          <w:szCs w:val="24"/>
          <w:lang w:eastAsia="en-US"/>
        </w:rPr>
        <w:t>směrovníku</w:t>
      </w:r>
      <w:proofErr w:type="spellEnd"/>
      <w:r w:rsidRPr="003457C7">
        <w:rPr>
          <w:rFonts w:eastAsia="Calibri" w:cs="Calibri"/>
          <w:sz w:val="24"/>
          <w:szCs w:val="24"/>
          <w:lang w:eastAsia="en-US"/>
        </w:rPr>
        <w:t xml:space="preserve">. Zajímavým doplňkem jednotlivých </w:t>
      </w:r>
      <w:r w:rsidRPr="003457C7">
        <w:rPr>
          <w:rFonts w:eastAsia="Calibri" w:cs="Calibri"/>
          <w:sz w:val="24"/>
          <w:szCs w:val="24"/>
          <w:lang w:eastAsia="en-US"/>
        </w:rPr>
        <w:lastRenderedPageBreak/>
        <w:t xml:space="preserve">etap jsou kamenná symbolická místa, vybudována na přírodě blízkém principu. Témata symbolických míst jsou zastřešená názvem „Zastav se, poutníku“ aneb činnosti poutníka při cestě krajinou s jeho tehdejšími přirozenými atributy s cílem navést turisty k úvahám o tehdejší společnosti i krajině. Navštívit tak můžete jednotlivé symbolické místo zpracované na námět spánek, odpočinek, modlitba, rozmluva nebo jídlo. Tato místa jsou doplněná o informační panel &amp; lavičku osazenou na dalších 5 místech podél stezky. Pro rodiny s dětmi je připraveno 6 okruhů vycházejících z Vintířovy stezky. Na některých z nich jsou pro ty nejmenší nainstalovány dětské herní prvky. Další z nich jsou zábavně zpracované prostřednictvím mobilní aplikace Skryté příběhy. Etapový průvodce, kterého držíte v rukou, přehledová mapa, letáky podrobně zpracovávající okruhy, populárně naučná brožura o sv. </w:t>
      </w:r>
      <w:proofErr w:type="spellStart"/>
      <w:r w:rsidRPr="003457C7">
        <w:rPr>
          <w:rFonts w:eastAsia="Calibri" w:cs="Calibri"/>
          <w:sz w:val="24"/>
          <w:szCs w:val="24"/>
          <w:lang w:eastAsia="en-US"/>
        </w:rPr>
        <w:t>Vintíři</w:t>
      </w:r>
      <w:proofErr w:type="spellEnd"/>
      <w:r w:rsidRPr="003457C7">
        <w:rPr>
          <w:rFonts w:eastAsia="Calibri" w:cs="Calibri"/>
          <w:sz w:val="24"/>
          <w:szCs w:val="24"/>
          <w:lang w:eastAsia="en-US"/>
        </w:rPr>
        <w:t xml:space="preserve">, edukační program pro žáky 2. stupně ZŠ obsahující jednak metodický materiál pro pedagogy a jednak výukový komiks pro žáky a rozšířená expozice o sv. </w:t>
      </w:r>
      <w:proofErr w:type="spellStart"/>
      <w:r w:rsidRPr="003457C7">
        <w:rPr>
          <w:rFonts w:eastAsia="Calibri" w:cs="Calibri"/>
          <w:sz w:val="24"/>
          <w:szCs w:val="24"/>
          <w:lang w:eastAsia="en-US"/>
        </w:rPr>
        <w:t>Vintíři</w:t>
      </w:r>
      <w:proofErr w:type="spellEnd"/>
      <w:r w:rsidRPr="003457C7">
        <w:rPr>
          <w:rFonts w:eastAsia="Calibri" w:cs="Calibri"/>
          <w:sz w:val="24"/>
          <w:szCs w:val="24"/>
          <w:lang w:eastAsia="en-US"/>
        </w:rPr>
        <w:t xml:space="preserve"> v Muzeu Dr. Šimona Adlera v Dobré Vodě jsou dalšími možnostmi, jak se o této stezce dozvědět více.</w:t>
      </w:r>
    </w:p>
    <w:p w:rsidR="004E0165" w:rsidRPr="003457C7" w:rsidRDefault="004E0165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</w:p>
    <w:p w:rsidR="004E0165" w:rsidRPr="003457C7" w:rsidRDefault="004E0165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</w:p>
    <w:p w:rsidR="004E0165" w:rsidRPr="003457C7" w:rsidRDefault="004E0165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  <w:bookmarkStart w:id="0" w:name="_GoBack"/>
      <w:bookmarkEnd w:id="0"/>
    </w:p>
    <w:p w:rsidR="004E0165" w:rsidRPr="003457C7" w:rsidRDefault="004E0165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</w:p>
    <w:p w:rsidR="004E0165" w:rsidRPr="003457C7" w:rsidRDefault="004E0165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</w:p>
    <w:p w:rsidR="004E0165" w:rsidRPr="003457C7" w:rsidRDefault="004E0165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</w:p>
    <w:p w:rsidR="004E0165" w:rsidRPr="003457C7" w:rsidRDefault="004E0165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</w:p>
    <w:p w:rsidR="004E0165" w:rsidRPr="003457C7" w:rsidRDefault="004E0165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</w:p>
    <w:p w:rsidR="004E0165" w:rsidRPr="003457C7" w:rsidRDefault="004E0165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</w:p>
    <w:p w:rsidR="004E0165" w:rsidRPr="003457C7" w:rsidRDefault="004E0165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</w:p>
    <w:p w:rsidR="004E0165" w:rsidRPr="003457C7" w:rsidRDefault="004E0165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</w:p>
    <w:p w:rsidR="004E0165" w:rsidRPr="003457C7" w:rsidRDefault="004E0165" w:rsidP="003457C7">
      <w:pPr>
        <w:spacing w:after="0" w:line="240" w:lineRule="auto"/>
        <w:jc w:val="both"/>
        <w:rPr>
          <w:rFonts w:eastAsia="Calibri" w:cs="Calibri"/>
          <w:sz w:val="24"/>
          <w:szCs w:val="24"/>
          <w:lang w:eastAsia="en-US"/>
        </w:rPr>
      </w:pPr>
    </w:p>
    <w:p w:rsidR="004E0165" w:rsidRPr="003457C7" w:rsidRDefault="004E0165" w:rsidP="003457C7">
      <w:pPr>
        <w:jc w:val="both"/>
        <w:rPr>
          <w:b/>
          <w:sz w:val="24"/>
          <w:szCs w:val="24"/>
        </w:rPr>
      </w:pPr>
    </w:p>
    <w:sectPr w:rsidR="004E0165" w:rsidRPr="003457C7" w:rsidSect="003457C7">
      <w:headerReference w:type="default" r:id="rId14"/>
      <w:footerReference w:type="default" r:id="rId15"/>
      <w:pgSz w:w="11906" w:h="16838"/>
      <w:pgMar w:top="992" w:right="1418" w:bottom="992" w:left="1418" w:header="425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3CD" w:rsidRDefault="00D423CD" w:rsidP="004F3D43">
      <w:pPr>
        <w:spacing w:after="0" w:line="240" w:lineRule="auto"/>
      </w:pPr>
      <w:r>
        <w:separator/>
      </w:r>
    </w:p>
  </w:endnote>
  <w:endnote w:type="continuationSeparator" w:id="0">
    <w:p w:rsidR="00D423CD" w:rsidRDefault="00D423CD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0894"/>
      <w:docPartObj>
        <w:docPartGallery w:val="Page Numbers (Bottom of Page)"/>
        <w:docPartUnique/>
      </w:docPartObj>
    </w:sdtPr>
    <w:sdtEndPr/>
    <w:sdtContent>
      <w:sdt>
        <w:sdtPr>
          <w:id w:val="4110895"/>
          <w:docPartObj>
            <w:docPartGallery w:val="Page Numbers (Top of Page)"/>
            <w:docPartUnique/>
          </w:docPartObj>
        </w:sdtPr>
        <w:sdtEndPr/>
        <w:sdtContent>
          <w:p w:rsidR="0092423D" w:rsidRDefault="0092423D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 w:rsidR="006279E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279EB">
              <w:rPr>
                <w:b/>
                <w:sz w:val="24"/>
                <w:szCs w:val="24"/>
              </w:rPr>
              <w:fldChar w:fldCharType="separate"/>
            </w:r>
            <w:r w:rsidR="003457C7">
              <w:rPr>
                <w:b/>
                <w:noProof/>
              </w:rPr>
              <w:t>2</w:t>
            </w:r>
            <w:r w:rsidR="006279EB">
              <w:rPr>
                <w:b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 w:rsidR="006279E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279EB">
              <w:rPr>
                <w:b/>
                <w:sz w:val="24"/>
                <w:szCs w:val="24"/>
              </w:rPr>
              <w:fldChar w:fldCharType="separate"/>
            </w:r>
            <w:r w:rsidR="003457C7">
              <w:rPr>
                <w:b/>
                <w:noProof/>
              </w:rPr>
              <w:t>2</w:t>
            </w:r>
            <w:r w:rsidR="006279E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2423D" w:rsidRDefault="009242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3CD" w:rsidRDefault="00D423CD" w:rsidP="004F3D43">
      <w:pPr>
        <w:spacing w:after="0" w:line="240" w:lineRule="auto"/>
      </w:pPr>
      <w:r>
        <w:separator/>
      </w:r>
    </w:p>
  </w:footnote>
  <w:footnote w:type="continuationSeparator" w:id="0">
    <w:p w:rsidR="00D423CD" w:rsidRDefault="00D423CD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23D" w:rsidRDefault="00E57751" w:rsidP="00E57751">
    <w:pPr>
      <w:pStyle w:val="Zhlav"/>
    </w:pPr>
    <w:r w:rsidRPr="00E57751">
      <w:rPr>
        <w:noProof/>
      </w:rPr>
      <w:drawing>
        <wp:inline distT="0" distB="0" distL="0" distR="0">
          <wp:extent cx="2247900" cy="775477"/>
          <wp:effectExtent l="0" t="0" r="0" b="5715"/>
          <wp:docPr id="1" name="obrázek 2" descr="C:\Users\MOULIS~1\AppData\Local\Temp\Rar$DIa0.291\ETZ + Text_D+CZ_S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ULIS~1\AppData\Local\Temp\Rar$DIa0.291\ETZ + Text_D+CZ_SW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372" cy="778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</w:t>
    </w:r>
    <w:r w:rsidR="004E0165">
      <w:tab/>
    </w:r>
    <w:r w:rsidR="004E0165">
      <w:tab/>
    </w:r>
    <w:r w:rsidR="003457C7" w:rsidRPr="00E57751">
      <w:rPr>
        <w:noProof/>
      </w:rPr>
      <w:drawing>
        <wp:inline distT="0" distB="0" distL="0" distR="0" wp14:anchorId="4391D5C3" wp14:editId="4CC272C7">
          <wp:extent cx="2363927" cy="866775"/>
          <wp:effectExtent l="19050" t="0" r="0" b="0"/>
          <wp:docPr id="2" name="obrázek 1" descr="C:\Users\MOULIS~1\AppData\Local\Temp\Rar$DIa0.378\EU+Hinweis_D+CZ_S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ULIS~1\AppData\Local\Temp\Rar$DIa0.378\EU+Hinweis_D+CZ_SW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462" cy="87467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</w:t>
    </w:r>
  </w:p>
  <w:p w:rsidR="00E57751" w:rsidRDefault="00E57751" w:rsidP="00E5775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73EB"/>
    <w:multiLevelType w:val="hybridMultilevel"/>
    <w:tmpl w:val="D12872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C4A3F"/>
    <w:multiLevelType w:val="hybridMultilevel"/>
    <w:tmpl w:val="F7CA8222"/>
    <w:lvl w:ilvl="0" w:tplc="9594D7B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B3E"/>
    <w:multiLevelType w:val="hybridMultilevel"/>
    <w:tmpl w:val="595226CA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3B64201"/>
    <w:multiLevelType w:val="hybridMultilevel"/>
    <w:tmpl w:val="FB4A0F26"/>
    <w:lvl w:ilvl="0" w:tplc="040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5A72A3C"/>
    <w:multiLevelType w:val="multilevel"/>
    <w:tmpl w:val="80B8B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170C4"/>
    <w:multiLevelType w:val="hybridMultilevel"/>
    <w:tmpl w:val="A40E39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0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D43"/>
    <w:rsid w:val="00004BC3"/>
    <w:rsid w:val="00014014"/>
    <w:rsid w:val="00014799"/>
    <w:rsid w:val="000157B2"/>
    <w:rsid w:val="000157F3"/>
    <w:rsid w:val="0001683B"/>
    <w:rsid w:val="00021CEA"/>
    <w:rsid w:val="000244DD"/>
    <w:rsid w:val="0003032A"/>
    <w:rsid w:val="00031D3C"/>
    <w:rsid w:val="000353A8"/>
    <w:rsid w:val="00036EBF"/>
    <w:rsid w:val="00041CF3"/>
    <w:rsid w:val="00046B29"/>
    <w:rsid w:val="000478C5"/>
    <w:rsid w:val="00051211"/>
    <w:rsid w:val="0005137E"/>
    <w:rsid w:val="00051EF7"/>
    <w:rsid w:val="00054B36"/>
    <w:rsid w:val="000579BD"/>
    <w:rsid w:val="00066037"/>
    <w:rsid w:val="000719E9"/>
    <w:rsid w:val="00076407"/>
    <w:rsid w:val="00081C74"/>
    <w:rsid w:val="000858E8"/>
    <w:rsid w:val="00086A22"/>
    <w:rsid w:val="00090032"/>
    <w:rsid w:val="00090982"/>
    <w:rsid w:val="000916A2"/>
    <w:rsid w:val="00091EF4"/>
    <w:rsid w:val="0009659F"/>
    <w:rsid w:val="0009776C"/>
    <w:rsid w:val="000A3CC4"/>
    <w:rsid w:val="000A6D17"/>
    <w:rsid w:val="000C1686"/>
    <w:rsid w:val="000C1D37"/>
    <w:rsid w:val="000C2DA6"/>
    <w:rsid w:val="000C4662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E508F"/>
    <w:rsid w:val="000E6D51"/>
    <w:rsid w:val="000F60CF"/>
    <w:rsid w:val="000F7440"/>
    <w:rsid w:val="00101887"/>
    <w:rsid w:val="00103D5C"/>
    <w:rsid w:val="00114FAA"/>
    <w:rsid w:val="00120899"/>
    <w:rsid w:val="001261D1"/>
    <w:rsid w:val="00134F5F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1AD"/>
    <w:rsid w:val="00161A12"/>
    <w:rsid w:val="00166B38"/>
    <w:rsid w:val="00172306"/>
    <w:rsid w:val="00172575"/>
    <w:rsid w:val="00172676"/>
    <w:rsid w:val="00175F8F"/>
    <w:rsid w:val="00177F6B"/>
    <w:rsid w:val="0018011A"/>
    <w:rsid w:val="0018078D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3012"/>
    <w:rsid w:val="001E50C9"/>
    <w:rsid w:val="001F34AB"/>
    <w:rsid w:val="001F4937"/>
    <w:rsid w:val="002028BF"/>
    <w:rsid w:val="002126F1"/>
    <w:rsid w:val="00212ACB"/>
    <w:rsid w:val="00213FEA"/>
    <w:rsid w:val="00217B41"/>
    <w:rsid w:val="0022184B"/>
    <w:rsid w:val="00222920"/>
    <w:rsid w:val="00223402"/>
    <w:rsid w:val="00224460"/>
    <w:rsid w:val="00232001"/>
    <w:rsid w:val="00232DCC"/>
    <w:rsid w:val="00232F86"/>
    <w:rsid w:val="00233F0A"/>
    <w:rsid w:val="00234078"/>
    <w:rsid w:val="002354F7"/>
    <w:rsid w:val="00240ABF"/>
    <w:rsid w:val="0024216A"/>
    <w:rsid w:val="002436A1"/>
    <w:rsid w:val="002439FF"/>
    <w:rsid w:val="00245F94"/>
    <w:rsid w:val="00246D4D"/>
    <w:rsid w:val="00251D78"/>
    <w:rsid w:val="00252249"/>
    <w:rsid w:val="00252A84"/>
    <w:rsid w:val="00254800"/>
    <w:rsid w:val="00254A9C"/>
    <w:rsid w:val="00254C76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164E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C5518"/>
    <w:rsid w:val="002D1071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4020"/>
    <w:rsid w:val="0030679B"/>
    <w:rsid w:val="0030707F"/>
    <w:rsid w:val="00310F02"/>
    <w:rsid w:val="0031111F"/>
    <w:rsid w:val="00312893"/>
    <w:rsid w:val="00320070"/>
    <w:rsid w:val="003205B5"/>
    <w:rsid w:val="00321D6D"/>
    <w:rsid w:val="00322648"/>
    <w:rsid w:val="003263B9"/>
    <w:rsid w:val="0032758A"/>
    <w:rsid w:val="003300B1"/>
    <w:rsid w:val="003315A2"/>
    <w:rsid w:val="0033312D"/>
    <w:rsid w:val="00335FC5"/>
    <w:rsid w:val="00345608"/>
    <w:rsid w:val="003457C7"/>
    <w:rsid w:val="00345D25"/>
    <w:rsid w:val="00346B67"/>
    <w:rsid w:val="00346ED1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949A5"/>
    <w:rsid w:val="00396699"/>
    <w:rsid w:val="003973F0"/>
    <w:rsid w:val="003A1C72"/>
    <w:rsid w:val="003A2040"/>
    <w:rsid w:val="003A3F4F"/>
    <w:rsid w:val="003A5A84"/>
    <w:rsid w:val="003A61F8"/>
    <w:rsid w:val="003B0ECA"/>
    <w:rsid w:val="003B5D55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1D8"/>
    <w:rsid w:val="003F683F"/>
    <w:rsid w:val="003F77F6"/>
    <w:rsid w:val="00403F6A"/>
    <w:rsid w:val="00404ABE"/>
    <w:rsid w:val="00404D4B"/>
    <w:rsid w:val="00406163"/>
    <w:rsid w:val="004068EC"/>
    <w:rsid w:val="00410A02"/>
    <w:rsid w:val="0041419B"/>
    <w:rsid w:val="00416ADB"/>
    <w:rsid w:val="00421034"/>
    <w:rsid w:val="0042290A"/>
    <w:rsid w:val="00422ECE"/>
    <w:rsid w:val="004249DC"/>
    <w:rsid w:val="004305EB"/>
    <w:rsid w:val="00430D9E"/>
    <w:rsid w:val="004335D1"/>
    <w:rsid w:val="00434156"/>
    <w:rsid w:val="00434D3D"/>
    <w:rsid w:val="0043533B"/>
    <w:rsid w:val="00436294"/>
    <w:rsid w:val="004434ED"/>
    <w:rsid w:val="004439DA"/>
    <w:rsid w:val="00445170"/>
    <w:rsid w:val="0044784D"/>
    <w:rsid w:val="004544F7"/>
    <w:rsid w:val="0045699C"/>
    <w:rsid w:val="0045729D"/>
    <w:rsid w:val="0045796D"/>
    <w:rsid w:val="00457A47"/>
    <w:rsid w:val="00460048"/>
    <w:rsid w:val="00460464"/>
    <w:rsid w:val="00467B7E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7E9"/>
    <w:rsid w:val="004A1F16"/>
    <w:rsid w:val="004A4787"/>
    <w:rsid w:val="004A4B9A"/>
    <w:rsid w:val="004A4F1B"/>
    <w:rsid w:val="004A6A63"/>
    <w:rsid w:val="004A7594"/>
    <w:rsid w:val="004B281D"/>
    <w:rsid w:val="004B5786"/>
    <w:rsid w:val="004B5916"/>
    <w:rsid w:val="004B6172"/>
    <w:rsid w:val="004B6AFE"/>
    <w:rsid w:val="004B74F2"/>
    <w:rsid w:val="004C4A10"/>
    <w:rsid w:val="004C4BBF"/>
    <w:rsid w:val="004C5D24"/>
    <w:rsid w:val="004D1C55"/>
    <w:rsid w:val="004D2102"/>
    <w:rsid w:val="004D2592"/>
    <w:rsid w:val="004D38DC"/>
    <w:rsid w:val="004D4DD0"/>
    <w:rsid w:val="004E0165"/>
    <w:rsid w:val="004E0936"/>
    <w:rsid w:val="004E0CDB"/>
    <w:rsid w:val="004E342B"/>
    <w:rsid w:val="004E3C68"/>
    <w:rsid w:val="004E3E93"/>
    <w:rsid w:val="004E5391"/>
    <w:rsid w:val="004E647A"/>
    <w:rsid w:val="004F0DB3"/>
    <w:rsid w:val="004F1CF6"/>
    <w:rsid w:val="004F20CA"/>
    <w:rsid w:val="004F3D43"/>
    <w:rsid w:val="004F4DD6"/>
    <w:rsid w:val="004F64F0"/>
    <w:rsid w:val="004F7359"/>
    <w:rsid w:val="004F7C8A"/>
    <w:rsid w:val="00500250"/>
    <w:rsid w:val="00500E38"/>
    <w:rsid w:val="00501864"/>
    <w:rsid w:val="005058C6"/>
    <w:rsid w:val="0050709B"/>
    <w:rsid w:val="00507F4C"/>
    <w:rsid w:val="0051094E"/>
    <w:rsid w:val="005125E2"/>
    <w:rsid w:val="005129FF"/>
    <w:rsid w:val="005136BD"/>
    <w:rsid w:val="00513BEF"/>
    <w:rsid w:val="00514BED"/>
    <w:rsid w:val="00515DBE"/>
    <w:rsid w:val="00517C19"/>
    <w:rsid w:val="00525A46"/>
    <w:rsid w:val="0052674F"/>
    <w:rsid w:val="005311B2"/>
    <w:rsid w:val="005331B7"/>
    <w:rsid w:val="00533C8E"/>
    <w:rsid w:val="00534855"/>
    <w:rsid w:val="005358AD"/>
    <w:rsid w:val="00536193"/>
    <w:rsid w:val="005400F0"/>
    <w:rsid w:val="00540388"/>
    <w:rsid w:val="00540E67"/>
    <w:rsid w:val="00541714"/>
    <w:rsid w:val="005444B7"/>
    <w:rsid w:val="005448C3"/>
    <w:rsid w:val="00552617"/>
    <w:rsid w:val="00552DA7"/>
    <w:rsid w:val="00560E86"/>
    <w:rsid w:val="00560F21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4712"/>
    <w:rsid w:val="005A5C5C"/>
    <w:rsid w:val="005A65E3"/>
    <w:rsid w:val="005B391F"/>
    <w:rsid w:val="005B4C6D"/>
    <w:rsid w:val="005B518B"/>
    <w:rsid w:val="005B5DD1"/>
    <w:rsid w:val="005B63D6"/>
    <w:rsid w:val="005C3871"/>
    <w:rsid w:val="005C6B4C"/>
    <w:rsid w:val="005C71B8"/>
    <w:rsid w:val="005D0748"/>
    <w:rsid w:val="005D144C"/>
    <w:rsid w:val="005D2A7E"/>
    <w:rsid w:val="005D318A"/>
    <w:rsid w:val="005D6745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15E4"/>
    <w:rsid w:val="00606091"/>
    <w:rsid w:val="00607F7A"/>
    <w:rsid w:val="00611EBF"/>
    <w:rsid w:val="00623FCE"/>
    <w:rsid w:val="00626625"/>
    <w:rsid w:val="0062766F"/>
    <w:rsid w:val="006279EB"/>
    <w:rsid w:val="006327B3"/>
    <w:rsid w:val="00636026"/>
    <w:rsid w:val="00636BF8"/>
    <w:rsid w:val="00640F3C"/>
    <w:rsid w:val="00641A96"/>
    <w:rsid w:val="00642715"/>
    <w:rsid w:val="00642909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6E5B"/>
    <w:rsid w:val="006573ED"/>
    <w:rsid w:val="00662EE1"/>
    <w:rsid w:val="006637CF"/>
    <w:rsid w:val="006669AF"/>
    <w:rsid w:val="0067088A"/>
    <w:rsid w:val="00672DFE"/>
    <w:rsid w:val="00676DC8"/>
    <w:rsid w:val="00683F52"/>
    <w:rsid w:val="006873B1"/>
    <w:rsid w:val="00687DE5"/>
    <w:rsid w:val="006920EA"/>
    <w:rsid w:val="006972C1"/>
    <w:rsid w:val="006A55A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6CE"/>
    <w:rsid w:val="006D64C3"/>
    <w:rsid w:val="006D7565"/>
    <w:rsid w:val="006E3415"/>
    <w:rsid w:val="006F71AB"/>
    <w:rsid w:val="00701D82"/>
    <w:rsid w:val="00702B6F"/>
    <w:rsid w:val="007036C6"/>
    <w:rsid w:val="007055F6"/>
    <w:rsid w:val="00713D3A"/>
    <w:rsid w:val="00713D9C"/>
    <w:rsid w:val="00713E53"/>
    <w:rsid w:val="00714EE1"/>
    <w:rsid w:val="00715D87"/>
    <w:rsid w:val="0071661A"/>
    <w:rsid w:val="00717471"/>
    <w:rsid w:val="00717810"/>
    <w:rsid w:val="00721ECC"/>
    <w:rsid w:val="00722666"/>
    <w:rsid w:val="007230ED"/>
    <w:rsid w:val="00723F1B"/>
    <w:rsid w:val="00724A54"/>
    <w:rsid w:val="00726C51"/>
    <w:rsid w:val="007315BF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60591"/>
    <w:rsid w:val="00764234"/>
    <w:rsid w:val="00771117"/>
    <w:rsid w:val="00775A3E"/>
    <w:rsid w:val="007800DB"/>
    <w:rsid w:val="00781428"/>
    <w:rsid w:val="00785033"/>
    <w:rsid w:val="007860A7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0785"/>
    <w:rsid w:val="007D3143"/>
    <w:rsid w:val="007D5315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396E"/>
    <w:rsid w:val="00805A65"/>
    <w:rsid w:val="00806F88"/>
    <w:rsid w:val="00807558"/>
    <w:rsid w:val="00810256"/>
    <w:rsid w:val="00811788"/>
    <w:rsid w:val="00814489"/>
    <w:rsid w:val="00816C06"/>
    <w:rsid w:val="008217DD"/>
    <w:rsid w:val="00830CC5"/>
    <w:rsid w:val="008314CA"/>
    <w:rsid w:val="00832680"/>
    <w:rsid w:val="008365B5"/>
    <w:rsid w:val="00837576"/>
    <w:rsid w:val="00845A48"/>
    <w:rsid w:val="00846276"/>
    <w:rsid w:val="00850607"/>
    <w:rsid w:val="00853319"/>
    <w:rsid w:val="0085335C"/>
    <w:rsid w:val="00857D07"/>
    <w:rsid w:val="00862DFE"/>
    <w:rsid w:val="00872E4D"/>
    <w:rsid w:val="00873376"/>
    <w:rsid w:val="0087464A"/>
    <w:rsid w:val="008756DF"/>
    <w:rsid w:val="00875DFB"/>
    <w:rsid w:val="00880F30"/>
    <w:rsid w:val="0088200E"/>
    <w:rsid w:val="00885224"/>
    <w:rsid w:val="00885940"/>
    <w:rsid w:val="008877B7"/>
    <w:rsid w:val="00887FBF"/>
    <w:rsid w:val="00890866"/>
    <w:rsid w:val="00890F5A"/>
    <w:rsid w:val="0089466C"/>
    <w:rsid w:val="008A055E"/>
    <w:rsid w:val="008A5DBC"/>
    <w:rsid w:val="008B28DB"/>
    <w:rsid w:val="008B31A6"/>
    <w:rsid w:val="008B52F8"/>
    <w:rsid w:val="008C1BBD"/>
    <w:rsid w:val="008C4EF0"/>
    <w:rsid w:val="008C7796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1D60"/>
    <w:rsid w:val="0092423D"/>
    <w:rsid w:val="00926D11"/>
    <w:rsid w:val="009271B0"/>
    <w:rsid w:val="009467FB"/>
    <w:rsid w:val="009476B4"/>
    <w:rsid w:val="00951988"/>
    <w:rsid w:val="00960485"/>
    <w:rsid w:val="00963A57"/>
    <w:rsid w:val="0096400A"/>
    <w:rsid w:val="00975AC9"/>
    <w:rsid w:val="0098055E"/>
    <w:rsid w:val="0098367C"/>
    <w:rsid w:val="009871B5"/>
    <w:rsid w:val="009872A1"/>
    <w:rsid w:val="009879E5"/>
    <w:rsid w:val="0099468D"/>
    <w:rsid w:val="009A1A0A"/>
    <w:rsid w:val="009A67A1"/>
    <w:rsid w:val="009A6F62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881"/>
    <w:rsid w:val="009E6B9A"/>
    <w:rsid w:val="009E7CE0"/>
    <w:rsid w:val="009E7DBF"/>
    <w:rsid w:val="009F18E4"/>
    <w:rsid w:val="009F3A1E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5EBC"/>
    <w:rsid w:val="00A47C15"/>
    <w:rsid w:val="00A47DDB"/>
    <w:rsid w:val="00A50996"/>
    <w:rsid w:val="00A51D08"/>
    <w:rsid w:val="00A53172"/>
    <w:rsid w:val="00A57780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1EE9"/>
    <w:rsid w:val="00A944AA"/>
    <w:rsid w:val="00A9588F"/>
    <w:rsid w:val="00A96243"/>
    <w:rsid w:val="00AA1B78"/>
    <w:rsid w:val="00AA1F38"/>
    <w:rsid w:val="00AA4490"/>
    <w:rsid w:val="00AA79DE"/>
    <w:rsid w:val="00AB1B54"/>
    <w:rsid w:val="00AB4ADE"/>
    <w:rsid w:val="00AC64F3"/>
    <w:rsid w:val="00AD0315"/>
    <w:rsid w:val="00AD0957"/>
    <w:rsid w:val="00AD2441"/>
    <w:rsid w:val="00AD2DA9"/>
    <w:rsid w:val="00AD6CF9"/>
    <w:rsid w:val="00AD7536"/>
    <w:rsid w:val="00AE05C6"/>
    <w:rsid w:val="00AE06A0"/>
    <w:rsid w:val="00AE3968"/>
    <w:rsid w:val="00AE41D0"/>
    <w:rsid w:val="00AF680A"/>
    <w:rsid w:val="00AF692A"/>
    <w:rsid w:val="00B039EB"/>
    <w:rsid w:val="00B051B1"/>
    <w:rsid w:val="00B2311A"/>
    <w:rsid w:val="00B30C23"/>
    <w:rsid w:val="00B31D5F"/>
    <w:rsid w:val="00B32C64"/>
    <w:rsid w:val="00B32ED2"/>
    <w:rsid w:val="00B33A49"/>
    <w:rsid w:val="00B34E9C"/>
    <w:rsid w:val="00B36E5F"/>
    <w:rsid w:val="00B41439"/>
    <w:rsid w:val="00B43276"/>
    <w:rsid w:val="00B435B8"/>
    <w:rsid w:val="00B45BFA"/>
    <w:rsid w:val="00B470E6"/>
    <w:rsid w:val="00B50E8D"/>
    <w:rsid w:val="00B51B9B"/>
    <w:rsid w:val="00B52683"/>
    <w:rsid w:val="00B52B5C"/>
    <w:rsid w:val="00B56AF7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4294"/>
    <w:rsid w:val="00B752D9"/>
    <w:rsid w:val="00B75758"/>
    <w:rsid w:val="00B82608"/>
    <w:rsid w:val="00B82AA9"/>
    <w:rsid w:val="00B8396C"/>
    <w:rsid w:val="00B8581F"/>
    <w:rsid w:val="00B91F03"/>
    <w:rsid w:val="00B94C96"/>
    <w:rsid w:val="00B94FD5"/>
    <w:rsid w:val="00B97AF2"/>
    <w:rsid w:val="00BA15CD"/>
    <w:rsid w:val="00BA3367"/>
    <w:rsid w:val="00BA6AF2"/>
    <w:rsid w:val="00BA6FFF"/>
    <w:rsid w:val="00BB14A7"/>
    <w:rsid w:val="00BB168D"/>
    <w:rsid w:val="00BB6123"/>
    <w:rsid w:val="00BC0FC3"/>
    <w:rsid w:val="00BC54EE"/>
    <w:rsid w:val="00BD0AA1"/>
    <w:rsid w:val="00BD1707"/>
    <w:rsid w:val="00BD3105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10223"/>
    <w:rsid w:val="00C114A2"/>
    <w:rsid w:val="00C121D8"/>
    <w:rsid w:val="00C12A8A"/>
    <w:rsid w:val="00C12E03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47AA2"/>
    <w:rsid w:val="00C47F33"/>
    <w:rsid w:val="00C521F7"/>
    <w:rsid w:val="00C53D0A"/>
    <w:rsid w:val="00C60F34"/>
    <w:rsid w:val="00C6169F"/>
    <w:rsid w:val="00C62D97"/>
    <w:rsid w:val="00C6469C"/>
    <w:rsid w:val="00C655D0"/>
    <w:rsid w:val="00C712B4"/>
    <w:rsid w:val="00C73266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B38"/>
    <w:rsid w:val="00C90FCD"/>
    <w:rsid w:val="00CA3FDB"/>
    <w:rsid w:val="00CA4AC2"/>
    <w:rsid w:val="00CA4C8F"/>
    <w:rsid w:val="00CA4E77"/>
    <w:rsid w:val="00CA53E1"/>
    <w:rsid w:val="00CB0C94"/>
    <w:rsid w:val="00CB1B38"/>
    <w:rsid w:val="00CB2910"/>
    <w:rsid w:val="00CB4DBA"/>
    <w:rsid w:val="00CC320E"/>
    <w:rsid w:val="00CC540D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697E"/>
    <w:rsid w:val="00D02382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23CD"/>
    <w:rsid w:val="00D47DE5"/>
    <w:rsid w:val="00D53973"/>
    <w:rsid w:val="00D53EB7"/>
    <w:rsid w:val="00D6588A"/>
    <w:rsid w:val="00D66442"/>
    <w:rsid w:val="00D8073D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6F3"/>
    <w:rsid w:val="00DC084D"/>
    <w:rsid w:val="00DC2AC6"/>
    <w:rsid w:val="00DC34E8"/>
    <w:rsid w:val="00DC4C9C"/>
    <w:rsid w:val="00DC62BA"/>
    <w:rsid w:val="00DC68F5"/>
    <w:rsid w:val="00DC6DD2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5661"/>
    <w:rsid w:val="00E00E36"/>
    <w:rsid w:val="00E00FD4"/>
    <w:rsid w:val="00E00FD6"/>
    <w:rsid w:val="00E0252C"/>
    <w:rsid w:val="00E04DDA"/>
    <w:rsid w:val="00E06F34"/>
    <w:rsid w:val="00E07762"/>
    <w:rsid w:val="00E116BC"/>
    <w:rsid w:val="00E203A2"/>
    <w:rsid w:val="00E20B25"/>
    <w:rsid w:val="00E21027"/>
    <w:rsid w:val="00E2118C"/>
    <w:rsid w:val="00E234C8"/>
    <w:rsid w:val="00E276B8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57751"/>
    <w:rsid w:val="00E606A6"/>
    <w:rsid w:val="00E62499"/>
    <w:rsid w:val="00E6674C"/>
    <w:rsid w:val="00E7057C"/>
    <w:rsid w:val="00E71938"/>
    <w:rsid w:val="00E753BC"/>
    <w:rsid w:val="00E774A6"/>
    <w:rsid w:val="00E83364"/>
    <w:rsid w:val="00E8447A"/>
    <w:rsid w:val="00E847D2"/>
    <w:rsid w:val="00E8535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02CF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4AC7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4BC3"/>
    <w:rsid w:val="00F14DC1"/>
    <w:rsid w:val="00F14EEA"/>
    <w:rsid w:val="00F20AEE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24E2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93331"/>
    <w:rsid w:val="00FA05EA"/>
    <w:rsid w:val="00FA0F3F"/>
    <w:rsid w:val="00FA1B7D"/>
    <w:rsid w:val="00FA4029"/>
    <w:rsid w:val="00FA64EC"/>
    <w:rsid w:val="00FA65D9"/>
    <w:rsid w:val="00FA70B0"/>
    <w:rsid w:val="00FB5894"/>
    <w:rsid w:val="00FB73D2"/>
    <w:rsid w:val="00FC5BC3"/>
    <w:rsid w:val="00FC76BB"/>
    <w:rsid w:val="00FC7F27"/>
    <w:rsid w:val="00FE17DF"/>
    <w:rsid w:val="00FE4705"/>
    <w:rsid w:val="00FE471E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A2D6F"/>
  <w15:docId w15:val="{B197D523-7E19-40BE-A586-571A5AF6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14A2"/>
    <w:pPr>
      <w:keepNext/>
      <w:keepLines/>
      <w:numPr>
        <w:ilvl w:val="1"/>
        <w:numId w:val="7"/>
      </w:numPr>
      <w:spacing w:before="200" w:after="0" w:line="360" w:lineRule="auto"/>
      <w:jc w:val="both"/>
      <w:outlineLvl w:val="1"/>
    </w:pPr>
    <w:rPr>
      <w:rFonts w:asciiTheme="minorHAnsi" w:eastAsiaTheme="majorEastAsia" w:hAnsiTheme="minorHAnsi" w:cstheme="majorBidi"/>
      <w:b/>
      <w:bCs/>
      <w:sz w:val="24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d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D6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674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Styl">
    <w:name w:val="Styl"/>
    <w:rsid w:val="002B1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5136BD"/>
    <w:pPr>
      <w:spacing w:after="0" w:line="240" w:lineRule="auto"/>
      <w:jc w:val="both"/>
    </w:pPr>
    <w:rPr>
      <w:sz w:val="24"/>
    </w:rPr>
  </w:style>
  <w:style w:type="character" w:customStyle="1" w:styleId="BezmezerChar">
    <w:name w:val="Bez mezer Char"/>
    <w:link w:val="Bezmezer"/>
    <w:uiPriority w:val="1"/>
    <w:rsid w:val="005136BD"/>
    <w:rPr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C114A2"/>
    <w:rPr>
      <w:rFonts w:eastAsiaTheme="majorEastAsia" w:cstheme="majorBidi"/>
      <w:b/>
      <w:bCs/>
      <w:sz w:val="24"/>
      <w:szCs w:val="26"/>
    </w:rPr>
  </w:style>
  <w:style w:type="paragraph" w:styleId="Zkladntext">
    <w:name w:val="Body Text"/>
    <w:basedOn w:val="Normln"/>
    <w:link w:val="ZkladntextChar"/>
    <w:rsid w:val="00C114A2"/>
    <w:pPr>
      <w:suppressAutoHyphens/>
      <w:spacing w:after="0" w:line="240" w:lineRule="auto"/>
      <w:jc w:val="both"/>
    </w:pPr>
    <w:rPr>
      <w:rFonts w:ascii="Arial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114A2"/>
    <w:rPr>
      <w:rFonts w:ascii="Arial" w:eastAsia="Times New Roman" w:hAnsi="Arial" w:cs="Arial"/>
      <w:b/>
      <w:bCs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031D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31D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31D3C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1D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1D3C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9E7DBF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E016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y.cz/s/cohabafoda" TargetMode="External"/><Relationship Id="rId13" Type="http://schemas.openxmlformats.org/officeDocument/2006/relationships/hyperlink" Target="https://mapy.cz/s/durotabec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apy.cz/s/fecujoruz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py.cz/s/lepahazat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mapy.cz/s/bedezago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py.cz/s/dufuzuzok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4B82F-0160-4956-A0AB-FB6D8F00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540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Beránek Filip</cp:lastModifiedBy>
  <cp:revision>3</cp:revision>
  <dcterms:created xsi:type="dcterms:W3CDTF">2021-03-12T10:09:00Z</dcterms:created>
  <dcterms:modified xsi:type="dcterms:W3CDTF">2021-03-12T10:40:00Z</dcterms:modified>
</cp:coreProperties>
</file>